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435A" w14:textId="77777777" w:rsidR="00195E6A" w:rsidRDefault="00000000">
      <w:pPr>
        <w:spacing w:after="20"/>
        <w:jc w:val="center"/>
      </w:pP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CHINEDU NDUKWE, MBA</w:t>
      </w:r>
    </w:p>
    <w:p w14:paraId="30149C74" w14:textId="5908E0F5" w:rsidR="00195E6A" w:rsidRDefault="00000000">
      <w:pPr>
        <w:spacing w:after="20"/>
        <w:jc w:val="center"/>
      </w:pPr>
      <w:r>
        <w:rPr>
          <w:rFonts w:ascii="Calibri" w:eastAsia="Calibri" w:hAnsi="Calibri" w:cs="Calibri"/>
          <w:color w:val="333333"/>
          <w:sz w:val="17"/>
          <w:szCs w:val="17"/>
        </w:rPr>
        <w:t xml:space="preserve">U.S. </w:t>
      </w:r>
      <w:r w:rsidR="00E87402">
        <w:rPr>
          <w:rFonts w:ascii="Calibri" w:eastAsia="Calibri" w:hAnsi="Calibri" w:cs="Calibri"/>
          <w:color w:val="333333"/>
          <w:sz w:val="17"/>
          <w:szCs w:val="17"/>
        </w:rPr>
        <w:t>Citizen • Frisco</w:t>
      </w:r>
      <w:r>
        <w:rPr>
          <w:rFonts w:ascii="Calibri" w:eastAsia="Calibri" w:hAnsi="Calibri" w:cs="Calibri"/>
          <w:color w:val="333333"/>
          <w:sz w:val="17"/>
          <w:szCs w:val="17"/>
        </w:rPr>
        <w:t xml:space="preserve">, </w:t>
      </w:r>
      <w:r w:rsidR="00E87402">
        <w:rPr>
          <w:rFonts w:ascii="Calibri" w:eastAsia="Calibri" w:hAnsi="Calibri" w:cs="Calibri"/>
          <w:color w:val="333333"/>
          <w:sz w:val="17"/>
          <w:szCs w:val="17"/>
        </w:rPr>
        <w:t>Texas • 214</w:t>
      </w:r>
      <w:r>
        <w:rPr>
          <w:rFonts w:ascii="Calibri" w:eastAsia="Calibri" w:hAnsi="Calibri" w:cs="Calibri"/>
          <w:color w:val="333333"/>
          <w:sz w:val="17"/>
          <w:szCs w:val="17"/>
        </w:rPr>
        <w:t>-336-</w:t>
      </w:r>
      <w:r w:rsidR="00E87402">
        <w:rPr>
          <w:rFonts w:ascii="Calibri" w:eastAsia="Calibri" w:hAnsi="Calibri" w:cs="Calibri"/>
          <w:color w:val="333333"/>
          <w:sz w:val="17"/>
          <w:szCs w:val="17"/>
        </w:rPr>
        <w:t>7405 • Chinedu.ndukwe@gmail.com • linkedin.com</w:t>
      </w:r>
      <w:r>
        <w:rPr>
          <w:rFonts w:ascii="Calibri" w:eastAsia="Calibri" w:hAnsi="Calibri" w:cs="Calibri"/>
          <w:color w:val="333333"/>
          <w:sz w:val="17"/>
          <w:szCs w:val="17"/>
        </w:rPr>
        <w:t>/in/</w:t>
      </w:r>
      <w:proofErr w:type="spellStart"/>
      <w:r>
        <w:rPr>
          <w:rFonts w:ascii="Calibri" w:eastAsia="Calibri" w:hAnsi="Calibri" w:cs="Calibri"/>
          <w:color w:val="333333"/>
          <w:sz w:val="17"/>
          <w:szCs w:val="17"/>
        </w:rPr>
        <w:t>chinedundukwe</w:t>
      </w:r>
      <w:proofErr w:type="spellEnd"/>
    </w:p>
    <w:p w14:paraId="3650A668" w14:textId="77777777" w:rsidR="00E87402" w:rsidRPr="00E87402" w:rsidRDefault="00E87402" w:rsidP="00E87402">
      <w:pPr>
        <w:rPr>
          <w:rFonts w:ascii="Calibri" w:eastAsia="Calibri" w:hAnsi="Calibri" w:cs="Calibri"/>
          <w:b/>
          <w:bCs/>
          <w:color w:val="000000"/>
          <w:sz w:val="8"/>
          <w:szCs w:val="8"/>
        </w:rPr>
      </w:pPr>
    </w:p>
    <w:p w14:paraId="21C2CFEE" w14:textId="2AAC7D53" w:rsidR="00195E6A" w:rsidRDefault="00E87402" w:rsidP="00E87402">
      <w:pPr>
        <w:pBdr>
          <w:bottom w:val="single" w:sz="4" w:space="1" w:color="auto"/>
        </w:pBd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SENIOR PROGRAM MANAGER</w:t>
      </w:r>
    </w:p>
    <w:p w14:paraId="49AFA35E" w14:textId="77777777" w:rsidR="00195E6A" w:rsidRPr="00484234" w:rsidRDefault="00195E6A">
      <w:pPr>
        <w:spacing w:before="30"/>
        <w:rPr>
          <w:sz w:val="8"/>
          <w:szCs w:val="8"/>
        </w:rPr>
      </w:pPr>
    </w:p>
    <w:p w14:paraId="1395E969" w14:textId="77777777" w:rsidR="00484234" w:rsidRDefault="00484234" w:rsidP="00484234">
      <w:pPr>
        <w:pBdr>
          <w:bottom w:val="single" w:sz="6" w:space="2" w:color="000000"/>
        </w:pBdr>
        <w:rPr>
          <w:rFonts w:ascii="Calibri" w:eastAsia="Calibri" w:hAnsi="Calibri" w:cs="Calibri"/>
          <w:color w:val="111111"/>
          <w:sz w:val="18"/>
          <w:szCs w:val="18"/>
        </w:rPr>
      </w:pPr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Program manager and operations leader with 12+ years leading cross-functional transformation programs, building PMO frameworks and program governance infrastructure, and driving execution across Product, Engineering, Finance, and Operations at AWS. Built cross-functional operating models, capacity models, and program health tracking systems from scratch that gave VP-level leadership the visibility to make real resourcing and planning decisions. Experienced partnering directly with executive sponsors on roadmap planning, risk identification, and </w:t>
      </w:r>
      <w:proofErr w:type="gramStart"/>
      <w:r w:rsidRPr="00484234">
        <w:rPr>
          <w:rFonts w:ascii="Calibri" w:eastAsia="Calibri" w:hAnsi="Calibri" w:cs="Calibri"/>
          <w:color w:val="111111"/>
          <w:sz w:val="18"/>
          <w:szCs w:val="18"/>
        </w:rPr>
        <w:t>change</w:t>
      </w:r>
      <w:proofErr w:type="gramEnd"/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 management across complex, multi-stakeholder programs with ambiguous scope and competing priorities. Track record of delivering programs on time through disciplined scope, schedule, and resource management in fast-moving, global environments.</w:t>
      </w:r>
    </w:p>
    <w:p w14:paraId="52A07B8D" w14:textId="77777777" w:rsidR="00484234" w:rsidRPr="00484234" w:rsidRDefault="00484234" w:rsidP="00484234">
      <w:pPr>
        <w:pBdr>
          <w:bottom w:val="single" w:sz="6" w:space="2" w:color="000000"/>
        </w:pBdr>
        <w:rPr>
          <w:rFonts w:ascii="Calibri" w:eastAsia="Calibri" w:hAnsi="Calibri" w:cs="Calibri"/>
          <w:color w:val="111111"/>
          <w:sz w:val="12"/>
          <w:szCs w:val="12"/>
        </w:rPr>
      </w:pPr>
    </w:p>
    <w:p w14:paraId="50FBA23E" w14:textId="6165A5C9" w:rsidR="00195E6A" w:rsidRDefault="00000000" w:rsidP="00484234">
      <w:pPr>
        <w:pBdr>
          <w:bottom w:val="single" w:sz="6" w:space="2" w:color="000000"/>
        </w:pBdr>
        <w:spacing w:after="40"/>
      </w:pPr>
      <w:r>
        <w:rPr>
          <w:rFonts w:ascii="Calibri" w:eastAsia="Calibri" w:hAnsi="Calibri" w:cs="Calibri"/>
          <w:b/>
          <w:bCs/>
          <w:color w:val="000000"/>
        </w:rPr>
        <w:t>CORE COMPETENCIES</w:t>
      </w:r>
    </w:p>
    <w:p w14:paraId="608C0747" w14:textId="77777777" w:rsidR="00195E6A" w:rsidRPr="00E87402" w:rsidRDefault="00195E6A">
      <w:pPr>
        <w:spacing w:before="20"/>
        <w:rPr>
          <w:sz w:val="8"/>
          <w:szCs w:val="8"/>
        </w:rPr>
      </w:pPr>
    </w:p>
    <w:p w14:paraId="77001810" w14:textId="77777777" w:rsidR="00195E6A" w:rsidRDefault="00000000">
      <w:pPr>
        <w:tabs>
          <w:tab w:val="left" w:pos="3784"/>
          <w:tab w:val="left" w:pos="7148"/>
        </w:tabs>
        <w:spacing w:before="16" w:after="16"/>
      </w:pPr>
      <w:r>
        <w:rPr>
          <w:rFonts w:ascii="Calibri" w:eastAsia="Calibri" w:hAnsi="Calibri" w:cs="Calibri"/>
          <w:color w:val="111111"/>
          <w:sz w:val="17"/>
          <w:szCs w:val="17"/>
        </w:rPr>
        <w:t>• Program Lifecycle Management</w:t>
      </w:r>
      <w:r>
        <w:rPr>
          <w:rFonts w:ascii="Calibri" w:eastAsia="Calibri" w:hAnsi="Calibri" w:cs="Calibri"/>
          <w:color w:val="111111"/>
          <w:sz w:val="17"/>
          <w:szCs w:val="17"/>
        </w:rPr>
        <w:tab/>
        <w:t>• Strategic Initiatives &amp; Planning</w:t>
      </w:r>
      <w:r>
        <w:rPr>
          <w:rFonts w:ascii="Calibri" w:eastAsia="Calibri" w:hAnsi="Calibri" w:cs="Calibri"/>
          <w:color w:val="111111"/>
          <w:sz w:val="17"/>
          <w:szCs w:val="17"/>
        </w:rPr>
        <w:tab/>
        <w:t>• Governance &amp; Operational Excellence</w:t>
      </w:r>
    </w:p>
    <w:p w14:paraId="59A825E2" w14:textId="77777777" w:rsidR="00195E6A" w:rsidRDefault="00000000">
      <w:pPr>
        <w:tabs>
          <w:tab w:val="left" w:pos="3784"/>
          <w:tab w:val="left" w:pos="7148"/>
        </w:tabs>
        <w:spacing w:before="16" w:after="16"/>
      </w:pPr>
      <w:r>
        <w:rPr>
          <w:rFonts w:ascii="Calibri" w:eastAsia="Calibri" w:hAnsi="Calibri" w:cs="Calibri"/>
          <w:color w:val="111111"/>
          <w:sz w:val="17"/>
          <w:szCs w:val="17"/>
        </w:rPr>
        <w:t>• Change Management &amp; Process Improvement</w:t>
      </w:r>
      <w:r>
        <w:rPr>
          <w:rFonts w:ascii="Calibri" w:eastAsia="Calibri" w:hAnsi="Calibri" w:cs="Calibri"/>
          <w:color w:val="111111"/>
          <w:sz w:val="17"/>
          <w:szCs w:val="17"/>
        </w:rPr>
        <w:tab/>
        <w:t xml:space="preserve">• Milestones, Deliverables &amp; Risk </w:t>
      </w:r>
      <w:proofErr w:type="spellStart"/>
      <w:r>
        <w:rPr>
          <w:rFonts w:ascii="Calibri" w:eastAsia="Calibri" w:hAnsi="Calibri" w:cs="Calibri"/>
          <w:color w:val="111111"/>
          <w:sz w:val="17"/>
          <w:szCs w:val="17"/>
        </w:rPr>
        <w:t>Mgmt</w:t>
      </w:r>
      <w:proofErr w:type="spellEnd"/>
      <w:r>
        <w:rPr>
          <w:rFonts w:ascii="Calibri" w:eastAsia="Calibri" w:hAnsi="Calibri" w:cs="Calibri"/>
          <w:color w:val="111111"/>
          <w:sz w:val="17"/>
          <w:szCs w:val="17"/>
        </w:rPr>
        <w:tab/>
        <w:t>• Performance Metrics &amp; KPI Reporting</w:t>
      </w:r>
    </w:p>
    <w:p w14:paraId="22C2238C" w14:textId="77777777" w:rsidR="00195E6A" w:rsidRDefault="00000000">
      <w:pPr>
        <w:tabs>
          <w:tab w:val="left" w:pos="3784"/>
          <w:tab w:val="left" w:pos="7148"/>
        </w:tabs>
        <w:spacing w:before="16" w:after="16"/>
      </w:pPr>
      <w:r>
        <w:rPr>
          <w:rFonts w:ascii="Calibri" w:eastAsia="Calibri" w:hAnsi="Calibri" w:cs="Calibri"/>
          <w:color w:val="111111"/>
          <w:sz w:val="17"/>
          <w:szCs w:val="17"/>
        </w:rPr>
        <w:t>• Executive Communication &amp; QBRs</w:t>
      </w:r>
      <w:r>
        <w:rPr>
          <w:rFonts w:ascii="Calibri" w:eastAsia="Calibri" w:hAnsi="Calibri" w:cs="Calibri"/>
          <w:color w:val="111111"/>
          <w:sz w:val="17"/>
          <w:szCs w:val="17"/>
        </w:rPr>
        <w:tab/>
        <w:t>• Capacity Planning &amp; Workforce Modeling</w:t>
      </w:r>
      <w:r>
        <w:rPr>
          <w:rFonts w:ascii="Calibri" w:eastAsia="Calibri" w:hAnsi="Calibri" w:cs="Calibri"/>
          <w:color w:val="111111"/>
          <w:sz w:val="17"/>
          <w:szCs w:val="17"/>
        </w:rPr>
        <w:tab/>
        <w:t>• Operating Model Design</w:t>
      </w:r>
    </w:p>
    <w:p w14:paraId="0CDA808A" w14:textId="77777777" w:rsidR="00195E6A" w:rsidRDefault="00000000">
      <w:pPr>
        <w:tabs>
          <w:tab w:val="left" w:pos="3784"/>
          <w:tab w:val="left" w:pos="7148"/>
        </w:tabs>
        <w:spacing w:before="16" w:after="16"/>
      </w:pPr>
      <w:r>
        <w:rPr>
          <w:rFonts w:ascii="Calibri" w:eastAsia="Calibri" w:hAnsi="Calibri" w:cs="Calibri"/>
          <w:color w:val="111111"/>
          <w:sz w:val="17"/>
          <w:szCs w:val="17"/>
        </w:rPr>
        <w:t>• Renewals &amp; Sales Operations</w:t>
      </w:r>
      <w:r>
        <w:rPr>
          <w:rFonts w:ascii="Calibri" w:eastAsia="Calibri" w:hAnsi="Calibri" w:cs="Calibri"/>
          <w:color w:val="111111"/>
          <w:sz w:val="17"/>
          <w:szCs w:val="17"/>
        </w:rPr>
        <w:tab/>
        <w:t>• Cross-Functional Program Execution</w:t>
      </w:r>
      <w:r>
        <w:rPr>
          <w:rFonts w:ascii="Calibri" w:eastAsia="Calibri" w:hAnsi="Calibri" w:cs="Calibri"/>
          <w:color w:val="111111"/>
          <w:sz w:val="17"/>
          <w:szCs w:val="17"/>
        </w:rPr>
        <w:tab/>
        <w:t>• Salesforce CRM</w:t>
      </w:r>
    </w:p>
    <w:p w14:paraId="3581D6F8" w14:textId="77777777" w:rsidR="00195E6A" w:rsidRDefault="00000000">
      <w:pPr>
        <w:tabs>
          <w:tab w:val="left" w:pos="3784"/>
          <w:tab w:val="left" w:pos="7148"/>
        </w:tabs>
        <w:spacing w:before="16" w:after="16"/>
        <w:rPr>
          <w:rFonts w:ascii="Calibri" w:eastAsia="Calibri" w:hAnsi="Calibri" w:cs="Calibri"/>
          <w:color w:val="111111"/>
          <w:sz w:val="17"/>
          <w:szCs w:val="17"/>
        </w:rPr>
      </w:pPr>
      <w:r>
        <w:rPr>
          <w:rFonts w:ascii="Calibri" w:eastAsia="Calibri" w:hAnsi="Calibri" w:cs="Calibri"/>
          <w:color w:val="111111"/>
          <w:sz w:val="17"/>
          <w:szCs w:val="17"/>
        </w:rPr>
        <w:t>• Churn Risk &amp; Retention Strategy</w:t>
      </w:r>
      <w:r>
        <w:rPr>
          <w:rFonts w:ascii="Calibri" w:eastAsia="Calibri" w:hAnsi="Calibri" w:cs="Calibri"/>
          <w:color w:val="111111"/>
          <w:sz w:val="17"/>
          <w:szCs w:val="17"/>
        </w:rPr>
        <w:tab/>
        <w:t>• Renewal Lifecycle Management</w:t>
      </w:r>
      <w:r>
        <w:rPr>
          <w:rFonts w:ascii="Calibri" w:eastAsia="Calibri" w:hAnsi="Calibri" w:cs="Calibri"/>
          <w:color w:val="111111"/>
          <w:sz w:val="17"/>
          <w:szCs w:val="17"/>
        </w:rPr>
        <w:tab/>
        <w:t>• AI Automation (Claude, ChatGPT)</w:t>
      </w:r>
    </w:p>
    <w:p w14:paraId="1F290094" w14:textId="5476AB6B" w:rsidR="00262331" w:rsidRDefault="00262331">
      <w:pPr>
        <w:tabs>
          <w:tab w:val="left" w:pos="3784"/>
          <w:tab w:val="left" w:pos="7148"/>
        </w:tabs>
        <w:spacing w:before="16" w:after="16"/>
      </w:pPr>
      <w:r>
        <w:rPr>
          <w:rFonts w:ascii="Calibri" w:eastAsia="Calibri" w:hAnsi="Calibri" w:cs="Calibri"/>
          <w:color w:val="111111"/>
          <w:sz w:val="17"/>
          <w:szCs w:val="17"/>
        </w:rPr>
        <w:t>• PMO Methodology &amp; Governance</w:t>
      </w:r>
      <w:r>
        <w:rPr>
          <w:rFonts w:ascii="Calibri" w:eastAsia="Calibri" w:hAnsi="Calibri" w:cs="Calibri"/>
          <w:color w:val="111111"/>
          <w:sz w:val="17"/>
          <w:szCs w:val="17"/>
        </w:rPr>
        <w:tab/>
        <w:t>• Risk &amp; Dependency Management</w:t>
      </w:r>
    </w:p>
    <w:p w14:paraId="5120C1B5" w14:textId="77777777" w:rsidR="00195E6A" w:rsidRPr="00484234" w:rsidRDefault="00195E6A">
      <w:pPr>
        <w:spacing w:before="80"/>
        <w:rPr>
          <w:sz w:val="10"/>
          <w:szCs w:val="10"/>
        </w:rPr>
      </w:pPr>
    </w:p>
    <w:p w14:paraId="70B41FE2" w14:textId="77777777" w:rsidR="00195E6A" w:rsidRDefault="00000000" w:rsidP="00484234">
      <w:pPr>
        <w:pBdr>
          <w:bottom w:val="single" w:sz="6" w:space="2" w:color="000000"/>
        </w:pBdr>
        <w:spacing w:after="40"/>
      </w:pPr>
      <w:r>
        <w:rPr>
          <w:rFonts w:ascii="Calibri" w:eastAsia="Calibri" w:hAnsi="Calibri" w:cs="Calibri"/>
          <w:b/>
          <w:bCs/>
          <w:color w:val="000000"/>
        </w:rPr>
        <w:t>WORK EXPERIENCE</w:t>
      </w:r>
    </w:p>
    <w:p w14:paraId="493806DB" w14:textId="77777777" w:rsidR="00195E6A" w:rsidRPr="00E87402" w:rsidRDefault="00195E6A">
      <w:pPr>
        <w:spacing w:before="40"/>
        <w:rPr>
          <w:sz w:val="10"/>
          <w:szCs w:val="10"/>
        </w:rPr>
      </w:pPr>
    </w:p>
    <w:p w14:paraId="056BCCD0" w14:textId="433DA311" w:rsidR="00195E6A" w:rsidRDefault="00000000" w:rsidP="00E87402">
      <w:pPr>
        <w:spacing w:after="4"/>
      </w:pPr>
      <w:r>
        <w:rPr>
          <w:rFonts w:ascii="Calibri" w:eastAsia="Calibri" w:hAnsi="Calibri" w:cs="Calibri"/>
          <w:b/>
          <w:bCs/>
          <w:color w:val="000000"/>
          <w:sz w:val="19"/>
          <w:szCs w:val="19"/>
        </w:rPr>
        <w:t xml:space="preserve">Amazon Web Services, Inc.  </w:t>
      </w:r>
      <w:r w:rsidR="00E87402">
        <w:rPr>
          <w:rFonts w:ascii="Calibri" w:eastAsia="Calibri" w:hAnsi="Calibri" w:cs="Calibri"/>
          <w:b/>
          <w:bCs/>
          <w:color w:val="000000"/>
          <w:sz w:val="19"/>
          <w:szCs w:val="19"/>
        </w:rPr>
        <w:t>| Frisco</w:t>
      </w:r>
      <w:r>
        <w:rPr>
          <w:rFonts w:ascii="Calibri" w:eastAsia="Calibri" w:hAnsi="Calibri" w:cs="Calibri"/>
          <w:b/>
          <w:bCs/>
          <w:color w:val="000000"/>
          <w:sz w:val="19"/>
          <w:szCs w:val="19"/>
        </w:rPr>
        <w:t>, Texas</w:t>
      </w:r>
    </w:p>
    <w:p w14:paraId="09E70E55" w14:textId="77777777" w:rsidR="00195E6A" w:rsidRDefault="00000000" w:rsidP="00E87402">
      <w:pPr>
        <w:tabs>
          <w:tab w:val="right" w:pos="10502"/>
        </w:tabs>
      </w:pPr>
      <w:r>
        <w:rPr>
          <w:rFonts w:ascii="Calibri" w:eastAsia="Calibri" w:hAnsi="Calibri" w:cs="Calibri"/>
          <w:b/>
          <w:bCs/>
          <w:i/>
          <w:iCs/>
          <w:color w:val="111111"/>
          <w:sz w:val="18"/>
          <w:szCs w:val="18"/>
        </w:rPr>
        <w:t>Program Manager II, Support Engineering SME Operations</w:t>
      </w:r>
      <w:r>
        <w:rPr>
          <w:sz w:val="18"/>
          <w:szCs w:val="18"/>
        </w:rPr>
        <w:tab/>
      </w:r>
      <w:r w:rsidRPr="00D840F5">
        <w:rPr>
          <w:rFonts w:ascii="Calibri" w:eastAsia="Calibri" w:hAnsi="Calibri" w:cs="Calibri"/>
          <w:color w:val="666666"/>
          <w:sz w:val="18"/>
          <w:szCs w:val="18"/>
        </w:rPr>
        <w:t>Aug 2024 – Present</w:t>
      </w:r>
    </w:p>
    <w:p w14:paraId="001D8888" w14:textId="77777777" w:rsidR="00195E6A" w:rsidRDefault="00000000">
      <w:pPr>
        <w:spacing w:before="30" w:after="18"/>
      </w:pPr>
      <w:r>
        <w:rPr>
          <w:rFonts w:ascii="Calibri" w:eastAsia="Calibri" w:hAnsi="Calibri" w:cs="Calibri"/>
          <w:i/>
          <w:iCs/>
          <w:color w:val="333333"/>
          <w:sz w:val="17"/>
          <w:szCs w:val="17"/>
        </w:rPr>
        <w:t>Partnered with key stakeholders across AWS Support Operations, Service Owners, and Workforce Management to build the operational and capacity planning infrastructure for AWS Support Engineering's global SME program, replacing a flat 45% staffing target with a data-driven demand model validated across 6 services and adopted by L8 leadership for 2026 planning.</w:t>
      </w:r>
    </w:p>
    <w:p w14:paraId="1B252B50" w14:textId="64B47093" w:rsidR="00484234" w:rsidRPr="00484234" w:rsidRDefault="00484234">
      <w:pPr>
        <w:pStyle w:val="ListParagraph"/>
        <w:numPr>
          <w:ilvl w:val="0"/>
          <w:numId w:val="2"/>
        </w:numPr>
        <w:spacing w:before="22" w:after="22" w:line="264" w:lineRule="auto"/>
      </w:pPr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Built Support Engineering's first data-driven SME demand and capacity model, </w:t>
      </w:r>
      <w:r w:rsidR="00FE3083">
        <w:rPr>
          <w:rFonts w:ascii="Calibri" w:eastAsia="Calibri" w:hAnsi="Calibri" w:cs="Calibri"/>
          <w:color w:val="111111"/>
          <w:sz w:val="18"/>
          <w:szCs w:val="18"/>
        </w:rPr>
        <w:t xml:space="preserve">which </w:t>
      </w:r>
      <w:r w:rsidRPr="00484234">
        <w:rPr>
          <w:rFonts w:ascii="Calibri" w:eastAsia="Calibri" w:hAnsi="Calibri" w:cs="Calibri"/>
          <w:color w:val="111111"/>
          <w:sz w:val="18"/>
          <w:szCs w:val="18"/>
        </w:rPr>
        <w:t>produc</w:t>
      </w:r>
      <w:r w:rsidR="00FE3083">
        <w:rPr>
          <w:rFonts w:ascii="Calibri" w:eastAsia="Calibri" w:hAnsi="Calibri" w:cs="Calibri"/>
          <w:color w:val="111111"/>
          <w:sz w:val="18"/>
          <w:szCs w:val="18"/>
        </w:rPr>
        <w:t>ed</w:t>
      </w:r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 </w:t>
      </w:r>
      <w:r w:rsidR="00FE3083">
        <w:rPr>
          <w:rFonts w:ascii="Calibri" w:eastAsia="Calibri" w:hAnsi="Calibri" w:cs="Calibri"/>
          <w:color w:val="111111"/>
          <w:sz w:val="18"/>
          <w:szCs w:val="18"/>
        </w:rPr>
        <w:t>capacity</w:t>
      </w:r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 targets and</w:t>
      </w:r>
      <w:r w:rsidR="00FE3083">
        <w:rPr>
          <w:rFonts w:ascii="Calibri" w:eastAsia="Calibri" w:hAnsi="Calibri" w:cs="Calibri"/>
          <w:color w:val="111111"/>
          <w:sz w:val="18"/>
          <w:szCs w:val="18"/>
        </w:rPr>
        <w:t xml:space="preserve"> associated financial estimates that informed</w:t>
      </w:r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 L8 leadership </w:t>
      </w:r>
      <w:r w:rsidR="00FE3083">
        <w:rPr>
          <w:rFonts w:ascii="Calibri" w:eastAsia="Calibri" w:hAnsi="Calibri" w:cs="Calibri"/>
          <w:color w:val="111111"/>
          <w:sz w:val="18"/>
          <w:szCs w:val="18"/>
        </w:rPr>
        <w:t>resourcing decisions</w:t>
      </w:r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 for 2026 workforce planning.</w:t>
      </w:r>
    </w:p>
    <w:p w14:paraId="173E30A3" w14:textId="3B2D602F" w:rsidR="00484234" w:rsidRPr="00484234" w:rsidRDefault="00484234">
      <w:pPr>
        <w:pStyle w:val="ListParagraph"/>
        <w:numPr>
          <w:ilvl w:val="0"/>
          <w:numId w:val="2"/>
        </w:numPr>
        <w:spacing w:before="22" w:after="22" w:line="264" w:lineRule="auto"/>
      </w:pPr>
      <w:r w:rsidRPr="00484234">
        <w:rPr>
          <w:rFonts w:ascii="Calibri" w:eastAsia="Calibri" w:hAnsi="Calibri" w:cs="Calibri"/>
          <w:color w:val="111111"/>
          <w:sz w:val="18"/>
          <w:szCs w:val="18"/>
        </w:rPr>
        <w:t>Applied the</w:t>
      </w:r>
      <w:r>
        <w:rPr>
          <w:rFonts w:ascii="Calibri" w:eastAsia="Calibri" w:hAnsi="Calibri" w:cs="Calibri"/>
          <w:color w:val="111111"/>
          <w:sz w:val="18"/>
          <w:szCs w:val="18"/>
        </w:rPr>
        <w:t xml:space="preserve"> SME</w:t>
      </w:r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 demand model across 6 AWS services and found 4 understaffed by an average of 15%, with one gap as large as 96%. These were </w:t>
      </w:r>
      <w:proofErr w:type="gramStart"/>
      <w:r w:rsidRPr="00484234">
        <w:rPr>
          <w:rFonts w:ascii="Calibri" w:eastAsia="Calibri" w:hAnsi="Calibri" w:cs="Calibri"/>
          <w:color w:val="111111"/>
          <w:sz w:val="18"/>
          <w:szCs w:val="18"/>
        </w:rPr>
        <w:t>risks</w:t>
      </w:r>
      <w:proofErr w:type="gramEnd"/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 the prior planning approach had no way of surfacing.</w:t>
      </w:r>
    </w:p>
    <w:p w14:paraId="162FC20D" w14:textId="77777777" w:rsidR="00484234" w:rsidRPr="00484234" w:rsidRDefault="00484234">
      <w:pPr>
        <w:pStyle w:val="ListParagraph"/>
        <w:numPr>
          <w:ilvl w:val="0"/>
          <w:numId w:val="2"/>
        </w:numPr>
        <w:spacing w:before="22" w:after="22" w:line="264" w:lineRule="auto"/>
      </w:pPr>
      <w:r w:rsidRPr="00484234">
        <w:rPr>
          <w:rFonts w:ascii="Calibri" w:eastAsia="Calibri" w:hAnsi="Calibri" w:cs="Calibri"/>
          <w:color w:val="111111"/>
          <w:sz w:val="18"/>
          <w:szCs w:val="18"/>
        </w:rPr>
        <w:t>Designed and ran an 8-week post-accreditation pilot across 73 SMEs and 4 services to test program feasibility, using the findings to reshape 2026 strategy and get stakeholder alignment on a phased rollout plan.</w:t>
      </w:r>
    </w:p>
    <w:p w14:paraId="2873A01A" w14:textId="77777777" w:rsidR="00484234" w:rsidRDefault="00484234" w:rsidP="003272B3">
      <w:pPr>
        <w:pStyle w:val="ListParagraph"/>
        <w:numPr>
          <w:ilvl w:val="0"/>
          <w:numId w:val="2"/>
        </w:numPr>
        <w:tabs>
          <w:tab w:val="right" w:pos="10502"/>
        </w:tabs>
        <w:spacing w:before="60" w:after="22" w:line="264" w:lineRule="auto"/>
        <w:rPr>
          <w:rFonts w:ascii="Calibri" w:eastAsia="Calibri" w:hAnsi="Calibri" w:cs="Calibri"/>
          <w:color w:val="111111"/>
          <w:sz w:val="18"/>
          <w:szCs w:val="18"/>
        </w:rPr>
      </w:pPr>
      <w:r w:rsidRPr="00484234">
        <w:rPr>
          <w:rFonts w:ascii="Calibri" w:eastAsia="Calibri" w:hAnsi="Calibri" w:cs="Calibri"/>
          <w:color w:val="111111"/>
          <w:sz w:val="18"/>
          <w:szCs w:val="18"/>
        </w:rPr>
        <w:t>Created the SME program's quarterly VP-level business review from scratch, giving Product, Engineering, and Operations leadership a consistent mechanism to act on resource tradeoffs, execution risks, and program priorities.</w:t>
      </w:r>
    </w:p>
    <w:p w14:paraId="42636392" w14:textId="77777777" w:rsidR="00CD4E25" w:rsidRDefault="00CD4E25" w:rsidP="00484234">
      <w:pPr>
        <w:pStyle w:val="ListParagraph"/>
        <w:numPr>
          <w:ilvl w:val="0"/>
          <w:numId w:val="2"/>
        </w:numPr>
        <w:tabs>
          <w:tab w:val="right" w:pos="10502"/>
        </w:tabs>
        <w:spacing w:before="60" w:line="264" w:lineRule="auto"/>
        <w:ind w:left="374" w:hanging="187"/>
        <w:rPr>
          <w:rFonts w:ascii="Calibri" w:eastAsia="Calibri" w:hAnsi="Calibri" w:cs="Calibri"/>
          <w:color w:val="111111"/>
          <w:sz w:val="18"/>
          <w:szCs w:val="18"/>
        </w:rPr>
      </w:pPr>
      <w:r w:rsidRPr="00CD4E25">
        <w:rPr>
          <w:rFonts w:ascii="Calibri" w:eastAsia="Calibri" w:hAnsi="Calibri" w:cs="Calibri"/>
          <w:color w:val="111111"/>
          <w:sz w:val="18"/>
          <w:szCs w:val="18"/>
        </w:rPr>
        <w:t>Partnered with Support Engineering leadership to translate 2025 and 2026 workforce strategy into an operational execution plan, cascading goals across SXOs, WFM, and Capacity Planning through a PMO framework that defined roles, milestones, impact tracking, and program review cadences tied to measurable business objectives.</w:t>
      </w:r>
    </w:p>
    <w:p w14:paraId="6E6E3AD1" w14:textId="455E0144" w:rsidR="00D840F5" w:rsidRDefault="00484234" w:rsidP="00484234">
      <w:pPr>
        <w:pStyle w:val="ListParagraph"/>
        <w:numPr>
          <w:ilvl w:val="0"/>
          <w:numId w:val="2"/>
        </w:numPr>
        <w:tabs>
          <w:tab w:val="right" w:pos="10502"/>
        </w:tabs>
        <w:spacing w:before="60" w:line="264" w:lineRule="auto"/>
        <w:ind w:left="374" w:hanging="187"/>
        <w:rPr>
          <w:rFonts w:ascii="Calibri" w:eastAsia="Calibri" w:hAnsi="Calibri" w:cs="Calibri"/>
          <w:color w:val="111111"/>
          <w:sz w:val="18"/>
          <w:szCs w:val="18"/>
        </w:rPr>
      </w:pPr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Scoped and drove an automated SME contribution tracking integration within SXO Pulse, replacing a manual process with an org-wide solution and managing feature governance and stakeholder requirements through a </w:t>
      </w:r>
      <w:proofErr w:type="gramStart"/>
      <w:r w:rsidRPr="00484234">
        <w:rPr>
          <w:rFonts w:ascii="Calibri" w:eastAsia="Calibri" w:hAnsi="Calibri" w:cs="Calibri"/>
          <w:color w:val="111111"/>
          <w:sz w:val="18"/>
          <w:szCs w:val="18"/>
        </w:rPr>
        <w:t>structured change</w:t>
      </w:r>
      <w:proofErr w:type="gramEnd"/>
      <w:r w:rsidRPr="00484234">
        <w:rPr>
          <w:rFonts w:ascii="Calibri" w:eastAsia="Calibri" w:hAnsi="Calibri" w:cs="Calibri"/>
          <w:color w:val="111111"/>
          <w:sz w:val="18"/>
          <w:szCs w:val="18"/>
        </w:rPr>
        <w:t xml:space="preserve"> management process.</w:t>
      </w:r>
    </w:p>
    <w:p w14:paraId="7C738BCD" w14:textId="1B4DF12A" w:rsidR="00CD4E25" w:rsidRPr="00484234" w:rsidRDefault="00CD4E25" w:rsidP="00484234">
      <w:pPr>
        <w:pStyle w:val="ListParagraph"/>
        <w:numPr>
          <w:ilvl w:val="0"/>
          <w:numId w:val="2"/>
        </w:numPr>
        <w:tabs>
          <w:tab w:val="right" w:pos="10502"/>
        </w:tabs>
        <w:spacing w:before="60" w:line="264" w:lineRule="auto"/>
        <w:ind w:left="374" w:hanging="187"/>
        <w:rPr>
          <w:rFonts w:ascii="Calibri" w:eastAsia="Calibri" w:hAnsi="Calibri" w:cs="Calibri"/>
          <w:color w:val="111111"/>
          <w:sz w:val="18"/>
          <w:szCs w:val="18"/>
        </w:rPr>
      </w:pPr>
      <w:r w:rsidRPr="00CD4E25">
        <w:rPr>
          <w:rFonts w:ascii="Calibri" w:eastAsia="Calibri" w:hAnsi="Calibri" w:cs="Calibri"/>
          <w:color w:val="111111"/>
          <w:sz w:val="18"/>
          <w:szCs w:val="18"/>
        </w:rPr>
        <w:t>Piloted generative AI tools across SME program workflows, using AI-assisted meeting summarization, content drafting, and reporting to reduce manual preparation time and accelerate turnaround on VP-level business review materials.</w:t>
      </w:r>
    </w:p>
    <w:p w14:paraId="6850E884" w14:textId="23C568AE" w:rsidR="00195E6A" w:rsidRDefault="00000000">
      <w:pPr>
        <w:tabs>
          <w:tab w:val="right" w:pos="10502"/>
        </w:tabs>
        <w:spacing w:before="60"/>
      </w:pPr>
      <w:r>
        <w:rPr>
          <w:rFonts w:ascii="Calibri" w:eastAsia="Calibri" w:hAnsi="Calibri" w:cs="Calibri"/>
          <w:b/>
          <w:bCs/>
          <w:i/>
          <w:iCs/>
          <w:color w:val="111111"/>
          <w:sz w:val="18"/>
          <w:szCs w:val="18"/>
        </w:rPr>
        <w:t>Sales Operations Manager, Marketplace Partner Finance Success</w:t>
      </w:r>
      <w:r>
        <w:rPr>
          <w:sz w:val="18"/>
          <w:szCs w:val="18"/>
        </w:rPr>
        <w:tab/>
      </w:r>
      <w:r w:rsidRPr="00D840F5">
        <w:rPr>
          <w:rFonts w:ascii="Calibri" w:eastAsia="Calibri" w:hAnsi="Calibri" w:cs="Calibri"/>
          <w:color w:val="666666"/>
          <w:sz w:val="18"/>
          <w:szCs w:val="18"/>
        </w:rPr>
        <w:t>Oct 2023 – Aug 2024</w:t>
      </w:r>
    </w:p>
    <w:p w14:paraId="02F50119" w14:textId="77777777" w:rsidR="00195E6A" w:rsidRPr="00E87402" w:rsidRDefault="00000000">
      <w:pPr>
        <w:pStyle w:val="ListParagraph"/>
        <w:numPr>
          <w:ilvl w:val="0"/>
          <w:numId w:val="2"/>
        </w:numPr>
        <w:spacing w:before="22" w:after="22"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Coordinated the GTM launch of the Flexible Payment Scheduler across Product, Finance, and Partner teams, aligning launch readiness, seller enablement, and operational support across functions with competing timelines.</w:t>
      </w:r>
    </w:p>
    <w:p w14:paraId="55BAA042" w14:textId="2669D0E2" w:rsidR="00195E6A" w:rsidRPr="00D840F5" w:rsidRDefault="00000000" w:rsidP="00E87402">
      <w:pPr>
        <w:pStyle w:val="ListParagraph"/>
        <w:numPr>
          <w:ilvl w:val="0"/>
          <w:numId w:val="2"/>
        </w:numPr>
        <w:spacing w:before="22" w:after="22"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Owned the finance operations relationship for 5 assigned Marketplace partners, leading standing payment review cadences and resolving 40 weekly cases to unblock 10 sellers per week on invoice, payment, and tax issues.</w:t>
      </w:r>
    </w:p>
    <w:p w14:paraId="18B3284F" w14:textId="77777777" w:rsidR="00D840F5" w:rsidRPr="00D840F5" w:rsidRDefault="00D840F5" w:rsidP="00D840F5">
      <w:pPr>
        <w:pStyle w:val="ListParagraph"/>
        <w:spacing w:line="264" w:lineRule="auto"/>
        <w:ind w:left="360"/>
        <w:rPr>
          <w:sz w:val="8"/>
          <w:szCs w:val="8"/>
        </w:rPr>
      </w:pPr>
    </w:p>
    <w:p w14:paraId="73A2EA9E" w14:textId="77777777" w:rsidR="00195E6A" w:rsidRDefault="00000000" w:rsidP="00D840F5">
      <w:pPr>
        <w:tabs>
          <w:tab w:val="right" w:pos="10502"/>
        </w:tabs>
      </w:pPr>
      <w:r>
        <w:rPr>
          <w:rFonts w:ascii="Calibri" w:eastAsia="Calibri" w:hAnsi="Calibri" w:cs="Calibri"/>
          <w:b/>
          <w:bCs/>
          <w:i/>
          <w:iCs/>
          <w:color w:val="111111"/>
          <w:sz w:val="18"/>
          <w:szCs w:val="18"/>
        </w:rPr>
        <w:t>Program Manager II, Marketplace Renewals Strategy &amp; Sales Operations</w:t>
      </w:r>
      <w:r>
        <w:rPr>
          <w:sz w:val="18"/>
          <w:szCs w:val="18"/>
        </w:rPr>
        <w:tab/>
      </w:r>
      <w:r w:rsidRPr="00D840F5">
        <w:rPr>
          <w:rFonts w:ascii="Calibri" w:eastAsia="Calibri" w:hAnsi="Calibri" w:cs="Calibri"/>
          <w:color w:val="666666"/>
          <w:sz w:val="18"/>
          <w:szCs w:val="18"/>
        </w:rPr>
        <w:t>Aug 2020 – Nov 2023</w:t>
      </w:r>
    </w:p>
    <w:p w14:paraId="4C0F9A78" w14:textId="77777777" w:rsidR="00195E6A" w:rsidRDefault="00000000">
      <w:pPr>
        <w:spacing w:before="30" w:after="18"/>
      </w:pPr>
      <w:r>
        <w:rPr>
          <w:rFonts w:ascii="Calibri" w:eastAsia="Calibri" w:hAnsi="Calibri" w:cs="Calibri"/>
          <w:i/>
          <w:iCs/>
          <w:color w:val="333333"/>
          <w:sz w:val="17"/>
          <w:szCs w:val="17"/>
        </w:rPr>
        <w:t>Sole owner of AWS Marketplace's global renewals infrastructure, managing the end-to-end renewal lifecycle and driving retention across a 500+ stakeholder ISV partner ecosystem supporting $920M in TCV.</w:t>
      </w:r>
    </w:p>
    <w:p w14:paraId="0DA5DD2A" w14:textId="77777777" w:rsidR="00195E6A" w:rsidRPr="00E87402" w:rsidRDefault="00000000">
      <w:pPr>
        <w:pStyle w:val="ListParagraph"/>
        <w:numPr>
          <w:ilvl w:val="0"/>
          <w:numId w:val="2"/>
        </w:numPr>
        <w:spacing w:before="22" w:after="22"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Drove $920M in renewed TCV and 165% YoY growth as the first dedicated owner of Marketplace renewals strategy, building the program's operational infrastructure from scratch across a global ISV partner ecosystem.</w:t>
      </w:r>
    </w:p>
    <w:p w14:paraId="2F22597E" w14:textId="09412175" w:rsidR="00195E6A" w:rsidRPr="00E87402" w:rsidRDefault="00000000">
      <w:pPr>
        <w:pStyle w:val="ListParagraph"/>
        <w:numPr>
          <w:ilvl w:val="0"/>
          <w:numId w:val="2"/>
        </w:numPr>
        <w:spacing w:before="22" w:after="22"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 xml:space="preserve">Eliminated 75% of manual reporting for a $920M+ pipeline by building the first centralized renewals KPI dashboards with BI and Engineering, </w:t>
      </w:r>
      <w:r w:rsidR="00FE3083">
        <w:rPr>
          <w:rFonts w:ascii="Calibri" w:eastAsia="Calibri" w:hAnsi="Calibri" w:cs="Calibri"/>
          <w:color w:val="111111"/>
          <w:sz w:val="18"/>
          <w:szCs w:val="18"/>
        </w:rPr>
        <w:t xml:space="preserve">establishing data integrity standards that gave </w:t>
      </w:r>
      <w:r w:rsidRPr="00E87402">
        <w:rPr>
          <w:rFonts w:ascii="Calibri" w:eastAsia="Calibri" w:hAnsi="Calibri" w:cs="Calibri"/>
          <w:color w:val="111111"/>
          <w:sz w:val="18"/>
          <w:szCs w:val="18"/>
        </w:rPr>
        <w:t>leadership real-time</w:t>
      </w:r>
      <w:r w:rsidR="00FE3083">
        <w:rPr>
          <w:rFonts w:ascii="Calibri" w:eastAsia="Calibri" w:hAnsi="Calibri" w:cs="Calibri"/>
          <w:color w:val="111111"/>
          <w:sz w:val="18"/>
          <w:szCs w:val="18"/>
        </w:rPr>
        <w:t>, reliable</w:t>
      </w:r>
      <w:r w:rsidRPr="00E87402">
        <w:rPr>
          <w:rFonts w:ascii="Calibri" w:eastAsia="Calibri" w:hAnsi="Calibri" w:cs="Calibri"/>
          <w:color w:val="111111"/>
          <w:sz w:val="18"/>
          <w:szCs w:val="18"/>
        </w:rPr>
        <w:t xml:space="preserve"> pipeline health visibility for the first time.</w:t>
      </w:r>
    </w:p>
    <w:p w14:paraId="53D00A51" w14:textId="77777777" w:rsidR="00195E6A" w:rsidRPr="00E87402" w:rsidRDefault="00000000" w:rsidP="003272B3">
      <w:pPr>
        <w:pStyle w:val="ListParagraph"/>
        <w:numPr>
          <w:ilvl w:val="0"/>
          <w:numId w:val="2"/>
        </w:numPr>
        <w:spacing w:before="22" w:after="22" w:line="264" w:lineRule="auto"/>
        <w:ind w:left="374" w:hanging="187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Improved at-risk account engagement across 500+ global sales stakeholders by launching an internal notification system that surfaced expiring renewal lifecycle opportunities, enabling earlier outreach and reducing churn risk on high-value accounts.</w:t>
      </w:r>
    </w:p>
    <w:p w14:paraId="1D781BCF" w14:textId="77777777" w:rsidR="003272B3" w:rsidRPr="003272B3" w:rsidRDefault="00000000" w:rsidP="003272B3">
      <w:pPr>
        <w:pStyle w:val="ListParagraph"/>
        <w:numPr>
          <w:ilvl w:val="0"/>
          <w:numId w:val="2"/>
        </w:numPr>
        <w:spacing w:after="4" w:line="264" w:lineRule="auto"/>
        <w:ind w:left="374" w:hanging="187"/>
      </w:pPr>
      <w:r w:rsidRPr="003272B3">
        <w:rPr>
          <w:rFonts w:ascii="Calibri" w:eastAsia="Calibri" w:hAnsi="Calibri" w:cs="Calibri"/>
          <w:color w:val="111111"/>
          <w:sz w:val="18"/>
          <w:szCs w:val="18"/>
        </w:rPr>
        <w:lastRenderedPageBreak/>
        <w:t>Built and led a quarterly QBR cadence for VP-level stakeholders, translating ISV renewal pipeline data into prioritized risk and opportunity readouts that gave leadership a recurring mechanism to act on renewal performance.</w:t>
      </w:r>
    </w:p>
    <w:p w14:paraId="1774373C" w14:textId="01726ACE" w:rsidR="003272B3" w:rsidRPr="003272B3" w:rsidRDefault="003272B3" w:rsidP="003272B3">
      <w:pPr>
        <w:pStyle w:val="ListParagraph"/>
        <w:numPr>
          <w:ilvl w:val="0"/>
          <w:numId w:val="2"/>
        </w:numPr>
        <w:spacing w:after="4" w:line="264" w:lineRule="auto"/>
        <w:ind w:left="374" w:hanging="187"/>
      </w:pPr>
      <w:r w:rsidRPr="003272B3">
        <w:rPr>
          <w:rFonts w:ascii="Calibri" w:eastAsia="Calibri" w:hAnsi="Calibri" w:cs="Calibri"/>
          <w:color w:val="111111"/>
          <w:sz w:val="18"/>
          <w:szCs w:val="18"/>
        </w:rPr>
        <w:t>Led Future Dated Agreements from scoping through go-live, aligning Product, Finance, and Partner teams across competing timelines to deliver a new Marketplace transaction model with zero disruption to existing operations.</w:t>
      </w:r>
    </w:p>
    <w:p w14:paraId="4472A9A6" w14:textId="77777777" w:rsidR="003272B3" w:rsidRPr="003272B3" w:rsidRDefault="003272B3" w:rsidP="003272B3">
      <w:pPr>
        <w:spacing w:before="60" w:after="4" w:line="264" w:lineRule="auto"/>
      </w:pPr>
    </w:p>
    <w:p w14:paraId="313D3EC0" w14:textId="782DFDF2" w:rsidR="00195E6A" w:rsidRPr="003272B3" w:rsidRDefault="00000000" w:rsidP="003272B3">
      <w:pPr>
        <w:spacing w:after="4" w:line="264" w:lineRule="auto"/>
        <w:rPr>
          <w:rFonts w:ascii="Calibri" w:eastAsia="Calibri" w:hAnsi="Calibri" w:cs="Calibri"/>
          <w:b/>
          <w:bCs/>
          <w:color w:val="000000"/>
          <w:sz w:val="19"/>
          <w:szCs w:val="19"/>
        </w:rPr>
      </w:pPr>
      <w:r w:rsidRPr="003272B3">
        <w:rPr>
          <w:rFonts w:ascii="Calibri" w:eastAsia="Calibri" w:hAnsi="Calibri" w:cs="Calibri"/>
          <w:b/>
          <w:bCs/>
          <w:color w:val="000000"/>
          <w:sz w:val="19"/>
          <w:szCs w:val="19"/>
        </w:rPr>
        <w:t xml:space="preserve">Mu Sigma, Inc.  </w:t>
      </w:r>
      <w:r w:rsidR="00E87402" w:rsidRPr="003272B3">
        <w:rPr>
          <w:rFonts w:ascii="Calibri" w:eastAsia="Calibri" w:hAnsi="Calibri" w:cs="Calibri"/>
          <w:b/>
          <w:bCs/>
          <w:color w:val="000000"/>
          <w:sz w:val="19"/>
          <w:szCs w:val="19"/>
        </w:rPr>
        <w:t>| Plano</w:t>
      </w:r>
      <w:r w:rsidRPr="003272B3">
        <w:rPr>
          <w:rFonts w:ascii="Calibri" w:eastAsia="Calibri" w:hAnsi="Calibri" w:cs="Calibri"/>
          <w:b/>
          <w:bCs/>
          <w:color w:val="000000"/>
          <w:sz w:val="19"/>
          <w:szCs w:val="19"/>
        </w:rPr>
        <w:t>, Texas</w:t>
      </w:r>
    </w:p>
    <w:p w14:paraId="159D181B" w14:textId="77777777" w:rsidR="00195E6A" w:rsidRDefault="00000000" w:rsidP="003272B3">
      <w:pPr>
        <w:tabs>
          <w:tab w:val="right" w:pos="10502"/>
        </w:tabs>
      </w:pPr>
      <w:r>
        <w:rPr>
          <w:rFonts w:ascii="Calibri" w:eastAsia="Calibri" w:hAnsi="Calibri" w:cs="Calibri"/>
          <w:b/>
          <w:bCs/>
          <w:i/>
          <w:iCs/>
          <w:color w:val="111111"/>
          <w:sz w:val="18"/>
          <w:szCs w:val="18"/>
        </w:rPr>
        <w:t>Sr. Engagement Manager, Commercial Strategy &amp; GTM Analytics</w:t>
      </w:r>
      <w:r>
        <w:rPr>
          <w:sz w:val="18"/>
          <w:szCs w:val="18"/>
        </w:rPr>
        <w:tab/>
      </w:r>
      <w:r w:rsidRPr="00D840F5">
        <w:rPr>
          <w:rFonts w:ascii="Calibri" w:eastAsia="Calibri" w:hAnsi="Calibri" w:cs="Calibri"/>
          <w:color w:val="666666"/>
          <w:sz w:val="18"/>
          <w:szCs w:val="18"/>
        </w:rPr>
        <w:t>July 2018 – May 2020</w:t>
      </w:r>
    </w:p>
    <w:p w14:paraId="07E6B775" w14:textId="77777777" w:rsidR="00484234" w:rsidRPr="00484234" w:rsidRDefault="00484234">
      <w:pPr>
        <w:pStyle w:val="ListParagraph"/>
        <w:numPr>
          <w:ilvl w:val="0"/>
          <w:numId w:val="2"/>
        </w:numPr>
        <w:spacing w:before="22" w:after="22" w:line="264" w:lineRule="auto"/>
      </w:pPr>
      <w:r w:rsidRPr="00484234">
        <w:rPr>
          <w:rFonts w:ascii="Calibri" w:eastAsia="Calibri" w:hAnsi="Calibri" w:cs="Calibri"/>
          <w:color w:val="111111"/>
          <w:sz w:val="18"/>
          <w:szCs w:val="18"/>
        </w:rPr>
        <w:t>Worked directly with PepsiCo commercial and sales leadership across pricing strategy, portfolio optimization, trade promotion planning, and go-to-market programs, building firsthand understanding of how PepsiCo's commercial operations drive revenue and distribution decisions.</w:t>
      </w:r>
    </w:p>
    <w:p w14:paraId="46B27ACE" w14:textId="21565424" w:rsidR="00195E6A" w:rsidRPr="00E87402" w:rsidRDefault="00000000">
      <w:pPr>
        <w:pStyle w:val="ListParagraph"/>
        <w:numPr>
          <w:ilvl w:val="0"/>
          <w:numId w:val="2"/>
        </w:numPr>
        <w:spacing w:before="22" w:after="22"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Grew PepsiCo engagement revenue by 60% through commercial strategy programs covering pricing analysis, portfolio optimization, and go-to-market planning, translating data-driven findings into executive investment decisions.</w:t>
      </w:r>
    </w:p>
    <w:p w14:paraId="481E171D" w14:textId="77777777" w:rsidR="00195E6A" w:rsidRPr="00E87402" w:rsidRDefault="00000000">
      <w:pPr>
        <w:pStyle w:val="ListParagraph"/>
        <w:numPr>
          <w:ilvl w:val="0"/>
          <w:numId w:val="2"/>
        </w:numPr>
        <w:spacing w:before="22" w:after="22"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Identified up to 12% in incremental revenue opportunity at PepsiCo by analyzing regional pricing gaps and building recommendations that supported targeted pricing actions across distribution channels.</w:t>
      </w:r>
    </w:p>
    <w:p w14:paraId="7D08518D" w14:textId="25E48BC2" w:rsidR="00195E6A" w:rsidRPr="002B377E" w:rsidRDefault="00000000" w:rsidP="00E87402">
      <w:pPr>
        <w:pStyle w:val="ListParagraph"/>
        <w:numPr>
          <w:ilvl w:val="0"/>
          <w:numId w:val="2"/>
        </w:numPr>
        <w:spacing w:before="22" w:after="22"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Improved customer-level sales forecast accuracy by 90% over internal models by delivering trade promotion optimization prototypes that enabled more precise unit sales predictions for retail planning.</w:t>
      </w:r>
    </w:p>
    <w:p w14:paraId="7943C5CA" w14:textId="600F6F25" w:rsidR="002B377E" w:rsidRPr="002B377E" w:rsidRDefault="002B377E" w:rsidP="002B377E">
      <w:pPr>
        <w:pStyle w:val="ListParagraph"/>
        <w:numPr>
          <w:ilvl w:val="0"/>
          <w:numId w:val="2"/>
        </w:numPr>
        <w:spacing w:line="264" w:lineRule="auto"/>
        <w:rPr>
          <w:sz w:val="19"/>
          <w:szCs w:val="19"/>
        </w:rPr>
      </w:pPr>
      <w:r w:rsidRPr="00236619">
        <w:rPr>
          <w:rFonts w:ascii="Calibri" w:eastAsia="Calibri" w:hAnsi="Calibri" w:cs="Calibri"/>
          <w:color w:val="1A1A1A"/>
          <w:sz w:val="19"/>
          <w:szCs w:val="19"/>
        </w:rPr>
        <w:t>Generated $1M+ in cost savings at PepsiCo by identifying high- and low-velocity products through supply chain and customer analytics, enabling more efficient inventory allocation and distribution decisions.</w:t>
      </w:r>
    </w:p>
    <w:p w14:paraId="432D9AA3" w14:textId="77777777" w:rsidR="00195E6A" w:rsidRDefault="00000000">
      <w:pPr>
        <w:tabs>
          <w:tab w:val="right" w:pos="10502"/>
        </w:tabs>
        <w:spacing w:before="60"/>
      </w:pPr>
      <w:r>
        <w:rPr>
          <w:rFonts w:ascii="Calibri" w:eastAsia="Calibri" w:hAnsi="Calibri" w:cs="Calibri"/>
          <w:b/>
          <w:bCs/>
          <w:i/>
          <w:iCs/>
          <w:color w:val="111111"/>
          <w:sz w:val="18"/>
          <w:szCs w:val="18"/>
        </w:rPr>
        <w:t>Sr. Engagement Manager, Sales Strategy &amp; Commercial Intelligence</w:t>
      </w:r>
      <w:r>
        <w:rPr>
          <w:sz w:val="18"/>
          <w:szCs w:val="18"/>
        </w:rPr>
        <w:tab/>
      </w:r>
      <w:r>
        <w:rPr>
          <w:rFonts w:ascii="Calibri" w:eastAsia="Calibri" w:hAnsi="Calibri" w:cs="Calibri"/>
          <w:color w:val="666666"/>
          <w:sz w:val="17"/>
          <w:szCs w:val="17"/>
        </w:rPr>
        <w:t>June 2017 – July 2018</w:t>
      </w:r>
    </w:p>
    <w:p w14:paraId="47924857" w14:textId="77777777" w:rsidR="00195E6A" w:rsidRPr="00E87402" w:rsidRDefault="00000000">
      <w:pPr>
        <w:pStyle w:val="ListParagraph"/>
        <w:numPr>
          <w:ilvl w:val="0"/>
          <w:numId w:val="2"/>
        </w:numPr>
        <w:spacing w:before="22" w:after="22"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Drove 75% organic portfolio growth ($1.2M+ annual value) by building executive-facing sales performance dashboards that consolidated global data and surfaced targeted growth opportunities for leadership.</w:t>
      </w:r>
    </w:p>
    <w:p w14:paraId="33511090" w14:textId="085A5A08" w:rsidR="00195E6A" w:rsidRPr="00E87402" w:rsidRDefault="00000000" w:rsidP="00E87402">
      <w:pPr>
        <w:pStyle w:val="ListParagraph"/>
        <w:numPr>
          <w:ilvl w:val="0"/>
          <w:numId w:val="2"/>
        </w:numPr>
        <w:spacing w:before="22" w:after="22"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Designed a strategic account selection tool for Dell's Marketing and Sales teams that consolidated data-driven targeting criteria, enabling more precise planning for customer events and field outreach.</w:t>
      </w:r>
    </w:p>
    <w:p w14:paraId="67F101CF" w14:textId="77777777" w:rsidR="00E87402" w:rsidRPr="00484234" w:rsidRDefault="00E87402" w:rsidP="00E87402">
      <w:pPr>
        <w:pStyle w:val="ListParagraph"/>
        <w:spacing w:before="22" w:after="22" w:line="264" w:lineRule="auto"/>
        <w:ind w:left="360"/>
        <w:rPr>
          <w:sz w:val="12"/>
          <w:szCs w:val="12"/>
        </w:rPr>
      </w:pPr>
    </w:p>
    <w:p w14:paraId="47F5323D" w14:textId="13E01FAD" w:rsidR="00195E6A" w:rsidRDefault="00000000">
      <w:pPr>
        <w:spacing w:before="60" w:after="4"/>
      </w:pPr>
      <w:r>
        <w:rPr>
          <w:rFonts w:ascii="Calibri" w:eastAsia="Calibri" w:hAnsi="Calibri" w:cs="Calibri"/>
          <w:b/>
          <w:bCs/>
          <w:color w:val="000000"/>
          <w:sz w:val="19"/>
          <w:szCs w:val="19"/>
        </w:rPr>
        <w:t xml:space="preserve">Infosys </w:t>
      </w:r>
      <w:r w:rsidR="00E87402">
        <w:rPr>
          <w:rFonts w:ascii="Calibri" w:eastAsia="Calibri" w:hAnsi="Calibri" w:cs="Calibri"/>
          <w:b/>
          <w:bCs/>
          <w:color w:val="000000"/>
          <w:sz w:val="19"/>
          <w:szCs w:val="19"/>
        </w:rPr>
        <w:t>Limited | Plano</w:t>
      </w:r>
      <w:r>
        <w:rPr>
          <w:rFonts w:ascii="Calibri" w:eastAsia="Calibri" w:hAnsi="Calibri" w:cs="Calibri"/>
          <w:b/>
          <w:bCs/>
          <w:color w:val="000000"/>
          <w:sz w:val="19"/>
          <w:szCs w:val="19"/>
        </w:rPr>
        <w:t>, Texas</w:t>
      </w:r>
    </w:p>
    <w:p w14:paraId="24952468" w14:textId="77777777" w:rsidR="00195E6A" w:rsidRDefault="00000000" w:rsidP="00E87402">
      <w:pPr>
        <w:tabs>
          <w:tab w:val="right" w:pos="10502"/>
        </w:tabs>
      </w:pPr>
      <w:r>
        <w:rPr>
          <w:rFonts w:ascii="Calibri" w:eastAsia="Calibri" w:hAnsi="Calibri" w:cs="Calibri"/>
          <w:b/>
          <w:bCs/>
          <w:i/>
          <w:iCs/>
          <w:color w:val="111111"/>
          <w:sz w:val="18"/>
          <w:szCs w:val="18"/>
        </w:rPr>
        <w:t>Business Development Executive, Retail/CPG &amp; Logistics</w:t>
      </w:r>
      <w:r>
        <w:rPr>
          <w:sz w:val="18"/>
          <w:szCs w:val="18"/>
        </w:rPr>
        <w:tab/>
      </w:r>
      <w:r w:rsidRPr="00D840F5">
        <w:rPr>
          <w:rFonts w:ascii="Calibri" w:eastAsia="Calibri" w:hAnsi="Calibri" w:cs="Calibri"/>
          <w:color w:val="666666"/>
          <w:sz w:val="18"/>
          <w:szCs w:val="18"/>
        </w:rPr>
        <w:t>Aug 2014 – Nov 2016</w:t>
      </w:r>
    </w:p>
    <w:p w14:paraId="08A25FE2" w14:textId="77777777" w:rsidR="00195E6A" w:rsidRPr="00E87402" w:rsidRDefault="00000000">
      <w:pPr>
        <w:pStyle w:val="ListParagraph"/>
        <w:numPr>
          <w:ilvl w:val="0"/>
          <w:numId w:val="2"/>
        </w:numPr>
        <w:spacing w:before="22" w:after="22" w:line="264" w:lineRule="auto"/>
      </w:pPr>
      <w:proofErr w:type="gramStart"/>
      <w:r w:rsidRPr="00E87402">
        <w:rPr>
          <w:rFonts w:ascii="Calibri" w:eastAsia="Calibri" w:hAnsi="Calibri" w:cs="Calibri"/>
          <w:color w:val="111111"/>
          <w:sz w:val="18"/>
          <w:szCs w:val="18"/>
        </w:rPr>
        <w:t>Drove</w:t>
      </w:r>
      <w:proofErr w:type="gramEnd"/>
      <w:r w:rsidRPr="00E87402">
        <w:rPr>
          <w:rFonts w:ascii="Calibri" w:eastAsia="Calibri" w:hAnsi="Calibri" w:cs="Calibri"/>
          <w:color w:val="111111"/>
          <w:sz w:val="18"/>
          <w:szCs w:val="18"/>
        </w:rPr>
        <w:t xml:space="preserve"> 10% quarter-over-quarter revenue growth by leading strategy meetings with offshore delivery teams to craft and sell proactive proposals for key Retail &amp; CPG client initiatives.</w:t>
      </w:r>
    </w:p>
    <w:p w14:paraId="58451A1F" w14:textId="77777777" w:rsidR="00195E6A" w:rsidRPr="00E87402" w:rsidRDefault="00000000">
      <w:pPr>
        <w:pStyle w:val="ListParagraph"/>
        <w:numPr>
          <w:ilvl w:val="0"/>
          <w:numId w:val="2"/>
        </w:numPr>
        <w:spacing w:before="22" w:after="22"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Managed a $2M+ annual Engineering Services railway portfolio, directly responsible for all projects and initiatives across the book.</w:t>
      </w:r>
    </w:p>
    <w:p w14:paraId="6E07F9DD" w14:textId="77777777" w:rsidR="00195E6A" w:rsidRPr="00E87402" w:rsidRDefault="00000000" w:rsidP="001E44B1">
      <w:pPr>
        <w:pStyle w:val="ListParagraph"/>
        <w:numPr>
          <w:ilvl w:val="0"/>
          <w:numId w:val="2"/>
        </w:numPr>
        <w:spacing w:line="264" w:lineRule="auto"/>
      </w:pPr>
      <w:r w:rsidRPr="00E87402">
        <w:rPr>
          <w:rFonts w:ascii="Calibri" w:eastAsia="Calibri" w:hAnsi="Calibri" w:cs="Calibri"/>
          <w:color w:val="111111"/>
          <w:sz w:val="18"/>
          <w:szCs w:val="18"/>
        </w:rPr>
        <w:t>Led the pursuit team for a $500M IT Service Modernization RFP for a leading North American Railway, coordinating a multi-unit response across service lines.</w:t>
      </w:r>
    </w:p>
    <w:p w14:paraId="46821822" w14:textId="77777777" w:rsidR="00E87402" w:rsidRPr="00E87402" w:rsidRDefault="00E87402" w:rsidP="001E44B1">
      <w:pPr>
        <w:pBdr>
          <w:bottom w:val="single" w:sz="6" w:space="2" w:color="000000"/>
        </w:pBdr>
        <w:rPr>
          <w:rFonts w:ascii="Calibri" w:eastAsia="Calibri" w:hAnsi="Calibri" w:cs="Calibri"/>
          <w:b/>
          <w:bCs/>
          <w:color w:val="000000"/>
          <w:sz w:val="6"/>
          <w:szCs w:val="6"/>
        </w:rPr>
      </w:pPr>
    </w:p>
    <w:p w14:paraId="61A57192" w14:textId="23DF3F0A" w:rsidR="00195E6A" w:rsidRDefault="00000000">
      <w:pPr>
        <w:pBdr>
          <w:bottom w:val="single" w:sz="6" w:space="2" w:color="000000"/>
        </w:pBdr>
        <w:spacing w:before="120" w:after="40"/>
      </w:pPr>
      <w:r>
        <w:rPr>
          <w:rFonts w:ascii="Calibri" w:eastAsia="Calibri" w:hAnsi="Calibri" w:cs="Calibri"/>
          <w:b/>
          <w:bCs/>
          <w:color w:val="000000"/>
        </w:rPr>
        <w:t>EDUCATION</w:t>
      </w:r>
    </w:p>
    <w:p w14:paraId="2302C8B4" w14:textId="77777777" w:rsidR="00195E6A" w:rsidRPr="00E87402" w:rsidRDefault="00195E6A">
      <w:pPr>
        <w:spacing w:before="40"/>
        <w:rPr>
          <w:sz w:val="6"/>
          <w:szCs w:val="6"/>
        </w:rPr>
      </w:pPr>
    </w:p>
    <w:p w14:paraId="3CDA72FD" w14:textId="0FB9C9EF" w:rsidR="00195E6A" w:rsidRPr="00D840F5" w:rsidRDefault="00000000" w:rsidP="00F40165">
      <w:pPr>
        <w:tabs>
          <w:tab w:val="right" w:pos="10502"/>
        </w:tabs>
        <w:rPr>
          <w:sz w:val="18"/>
          <w:szCs w:val="18"/>
        </w:rPr>
      </w:pPr>
      <w:r w:rsidRPr="00D840F5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Southern Methodist University, Cox School of </w:t>
      </w:r>
      <w:r w:rsidR="00E87402" w:rsidRPr="00D840F5">
        <w:rPr>
          <w:rFonts w:ascii="Calibri" w:eastAsia="Calibri" w:hAnsi="Calibri" w:cs="Calibri"/>
          <w:b/>
          <w:bCs/>
          <w:color w:val="000000"/>
          <w:sz w:val="18"/>
          <w:szCs w:val="18"/>
        </w:rPr>
        <w:t>Business</w:t>
      </w:r>
      <w:r w:rsidR="00E87402" w:rsidRPr="00D840F5">
        <w:rPr>
          <w:rFonts w:ascii="Calibri" w:eastAsia="Calibri" w:hAnsi="Calibri" w:cs="Calibri"/>
          <w:color w:val="333333"/>
          <w:sz w:val="18"/>
          <w:szCs w:val="18"/>
        </w:rPr>
        <w:t xml:space="preserve"> | Dallas</w:t>
      </w:r>
      <w:r w:rsidRPr="00D840F5">
        <w:rPr>
          <w:rFonts w:ascii="Calibri" w:eastAsia="Calibri" w:hAnsi="Calibri" w:cs="Calibri"/>
          <w:color w:val="333333"/>
          <w:sz w:val="18"/>
          <w:szCs w:val="18"/>
        </w:rPr>
        <w:t>, Texas</w:t>
      </w:r>
      <w:r w:rsidRPr="00D840F5">
        <w:rPr>
          <w:sz w:val="18"/>
          <w:szCs w:val="18"/>
        </w:rPr>
        <w:tab/>
      </w:r>
      <w:r w:rsidRPr="00D840F5">
        <w:rPr>
          <w:rFonts w:ascii="Calibri" w:eastAsia="Calibri" w:hAnsi="Calibri" w:cs="Calibri"/>
          <w:color w:val="666666"/>
          <w:sz w:val="18"/>
          <w:szCs w:val="18"/>
        </w:rPr>
        <w:t>May 2014</w:t>
      </w:r>
    </w:p>
    <w:p w14:paraId="237A2655" w14:textId="77777777" w:rsidR="00195E6A" w:rsidRPr="00D840F5" w:rsidRDefault="00000000">
      <w:pPr>
        <w:spacing w:after="40"/>
        <w:rPr>
          <w:sz w:val="18"/>
          <w:szCs w:val="18"/>
        </w:rPr>
      </w:pPr>
      <w:r w:rsidRPr="00D840F5">
        <w:rPr>
          <w:rFonts w:ascii="Calibri" w:eastAsia="Calibri" w:hAnsi="Calibri" w:cs="Calibri"/>
          <w:i/>
          <w:iCs/>
          <w:color w:val="333333"/>
          <w:sz w:val="18"/>
          <w:szCs w:val="18"/>
        </w:rPr>
        <w:t>Master of Business Administration — Marketing, Strategy &amp; Entrepreneurship</w:t>
      </w:r>
    </w:p>
    <w:p w14:paraId="201D5D3A" w14:textId="2FBF9184" w:rsidR="00195E6A" w:rsidRPr="00D840F5" w:rsidRDefault="00000000">
      <w:pPr>
        <w:spacing w:before="20"/>
        <w:rPr>
          <w:sz w:val="18"/>
          <w:szCs w:val="18"/>
        </w:rPr>
      </w:pPr>
      <w:r w:rsidRPr="00D840F5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University of North </w:t>
      </w:r>
      <w:r w:rsidR="00E87402" w:rsidRPr="00D840F5">
        <w:rPr>
          <w:rFonts w:ascii="Calibri" w:eastAsia="Calibri" w:hAnsi="Calibri" w:cs="Calibri"/>
          <w:b/>
          <w:bCs/>
          <w:color w:val="000000"/>
          <w:sz w:val="18"/>
          <w:szCs w:val="18"/>
        </w:rPr>
        <w:t>Texas</w:t>
      </w:r>
      <w:r w:rsidR="00E87402" w:rsidRPr="00D840F5">
        <w:rPr>
          <w:rFonts w:ascii="Calibri" w:eastAsia="Calibri" w:hAnsi="Calibri" w:cs="Calibri"/>
          <w:color w:val="333333"/>
          <w:sz w:val="18"/>
          <w:szCs w:val="18"/>
        </w:rPr>
        <w:t xml:space="preserve"> | Denton</w:t>
      </w:r>
      <w:r w:rsidRPr="00D840F5">
        <w:rPr>
          <w:rFonts w:ascii="Calibri" w:eastAsia="Calibri" w:hAnsi="Calibri" w:cs="Calibri"/>
          <w:color w:val="333333"/>
          <w:sz w:val="18"/>
          <w:szCs w:val="18"/>
        </w:rPr>
        <w:t>, Texas</w:t>
      </w:r>
    </w:p>
    <w:p w14:paraId="218E4573" w14:textId="77777777" w:rsidR="00195E6A" w:rsidRPr="00D840F5" w:rsidRDefault="00000000" w:rsidP="001E44B1">
      <w:pPr>
        <w:rPr>
          <w:sz w:val="18"/>
          <w:szCs w:val="18"/>
        </w:rPr>
      </w:pPr>
      <w:r w:rsidRPr="00D840F5">
        <w:rPr>
          <w:rFonts w:ascii="Calibri" w:eastAsia="Calibri" w:hAnsi="Calibri" w:cs="Calibri"/>
          <w:i/>
          <w:iCs/>
          <w:color w:val="333333"/>
          <w:sz w:val="18"/>
          <w:szCs w:val="18"/>
        </w:rPr>
        <w:t>Bachelor of Business Administration, Marketing</w:t>
      </w:r>
    </w:p>
    <w:p w14:paraId="6A0B1C46" w14:textId="77777777" w:rsidR="00195E6A" w:rsidRDefault="00195E6A" w:rsidP="001E44B1"/>
    <w:p w14:paraId="47489EEB" w14:textId="77777777" w:rsidR="00195E6A" w:rsidRDefault="00000000" w:rsidP="001E44B1">
      <w:pPr>
        <w:pBdr>
          <w:bottom w:val="single" w:sz="6" w:space="2" w:color="000000"/>
        </w:pBdr>
        <w:spacing w:after="40"/>
      </w:pPr>
      <w:r>
        <w:rPr>
          <w:rFonts w:ascii="Calibri" w:eastAsia="Calibri" w:hAnsi="Calibri" w:cs="Calibri"/>
          <w:b/>
          <w:bCs/>
          <w:color w:val="000000"/>
        </w:rPr>
        <w:t>PROFESSIONAL DEVELOPMENT &amp; CERTIFICATIONS</w:t>
      </w:r>
    </w:p>
    <w:p w14:paraId="48057004" w14:textId="77777777" w:rsidR="00195E6A" w:rsidRPr="00E87402" w:rsidRDefault="00195E6A">
      <w:pPr>
        <w:spacing w:before="40"/>
        <w:rPr>
          <w:sz w:val="6"/>
          <w:szCs w:val="6"/>
        </w:rPr>
      </w:pPr>
    </w:p>
    <w:p w14:paraId="13A730B5" w14:textId="0D066141" w:rsidR="00195E6A" w:rsidRPr="00F40165" w:rsidRDefault="00000000" w:rsidP="00F40165">
      <w:pPr>
        <w:spacing w:after="20"/>
        <w:rPr>
          <w:sz w:val="22"/>
          <w:szCs w:val="22"/>
        </w:rPr>
      </w:pPr>
      <w:r w:rsidRPr="00F40165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Google AI Professional </w:t>
      </w:r>
      <w:r w:rsidR="00E87402" w:rsidRPr="00F40165">
        <w:rPr>
          <w:rFonts w:ascii="Calibri" w:eastAsia="Calibri" w:hAnsi="Calibri" w:cs="Calibri"/>
          <w:b/>
          <w:bCs/>
          <w:color w:val="000000"/>
          <w:sz w:val="18"/>
          <w:szCs w:val="18"/>
        </w:rPr>
        <w:t>Certificate</w:t>
      </w:r>
      <w:r w:rsidR="00E87402" w:rsidRPr="00F40165">
        <w:rPr>
          <w:rFonts w:ascii="Calibri" w:eastAsia="Calibri" w:hAnsi="Calibri" w:cs="Calibri"/>
          <w:color w:val="333333"/>
          <w:sz w:val="18"/>
          <w:szCs w:val="18"/>
        </w:rPr>
        <w:t xml:space="preserve"> | Coursera</w:t>
      </w:r>
      <w:r w:rsidRPr="00F40165">
        <w:rPr>
          <w:rFonts w:ascii="Calibri" w:eastAsia="Calibri" w:hAnsi="Calibri" w:cs="Calibri"/>
          <w:color w:val="333333"/>
          <w:sz w:val="18"/>
          <w:szCs w:val="18"/>
        </w:rPr>
        <w:t xml:space="preserve"> – Issued Apr 2026</w:t>
      </w:r>
    </w:p>
    <w:p w14:paraId="10044EC6" w14:textId="5FA6837D" w:rsidR="00195E6A" w:rsidRPr="00F40165" w:rsidRDefault="00000000">
      <w:pPr>
        <w:spacing w:before="20" w:after="20"/>
        <w:rPr>
          <w:sz w:val="22"/>
          <w:szCs w:val="22"/>
        </w:rPr>
      </w:pPr>
      <w:r w:rsidRPr="00F40165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Google AI Prompting </w:t>
      </w:r>
      <w:r w:rsidR="00E87402" w:rsidRPr="00F40165">
        <w:rPr>
          <w:rFonts w:ascii="Calibri" w:eastAsia="Calibri" w:hAnsi="Calibri" w:cs="Calibri"/>
          <w:b/>
          <w:bCs/>
          <w:color w:val="000000"/>
          <w:sz w:val="18"/>
          <w:szCs w:val="18"/>
        </w:rPr>
        <w:t>Essentials</w:t>
      </w:r>
      <w:r w:rsidR="00E87402" w:rsidRPr="00F40165">
        <w:rPr>
          <w:rFonts w:ascii="Calibri" w:eastAsia="Calibri" w:hAnsi="Calibri" w:cs="Calibri"/>
          <w:color w:val="333333"/>
          <w:sz w:val="18"/>
          <w:szCs w:val="18"/>
        </w:rPr>
        <w:t xml:space="preserve"> | Coursera</w:t>
      </w:r>
      <w:r w:rsidRPr="00F40165">
        <w:rPr>
          <w:rFonts w:ascii="Calibri" w:eastAsia="Calibri" w:hAnsi="Calibri" w:cs="Calibri"/>
          <w:color w:val="333333"/>
          <w:sz w:val="18"/>
          <w:szCs w:val="18"/>
        </w:rPr>
        <w:t xml:space="preserve"> – Issued Feb 2026</w:t>
      </w:r>
    </w:p>
    <w:p w14:paraId="104EAC31" w14:textId="52BEDAC5" w:rsidR="00195E6A" w:rsidRPr="00F40165" w:rsidRDefault="00000000">
      <w:pPr>
        <w:spacing w:before="20" w:after="20"/>
        <w:rPr>
          <w:sz w:val="22"/>
          <w:szCs w:val="22"/>
        </w:rPr>
      </w:pPr>
      <w:r w:rsidRPr="00F40165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Google AI </w:t>
      </w:r>
      <w:r w:rsidR="00E87402" w:rsidRPr="00F40165">
        <w:rPr>
          <w:rFonts w:ascii="Calibri" w:eastAsia="Calibri" w:hAnsi="Calibri" w:cs="Calibri"/>
          <w:b/>
          <w:bCs/>
          <w:color w:val="000000"/>
          <w:sz w:val="18"/>
          <w:szCs w:val="18"/>
        </w:rPr>
        <w:t>Essentials</w:t>
      </w:r>
      <w:r w:rsidR="00E87402" w:rsidRPr="00F40165">
        <w:rPr>
          <w:rFonts w:ascii="Calibri" w:eastAsia="Calibri" w:hAnsi="Calibri" w:cs="Calibri"/>
          <w:color w:val="333333"/>
          <w:sz w:val="18"/>
          <w:szCs w:val="18"/>
        </w:rPr>
        <w:t xml:space="preserve"> | Coursera</w:t>
      </w:r>
      <w:r w:rsidRPr="00F40165">
        <w:rPr>
          <w:rFonts w:ascii="Calibri" w:eastAsia="Calibri" w:hAnsi="Calibri" w:cs="Calibri"/>
          <w:color w:val="333333"/>
          <w:sz w:val="18"/>
          <w:szCs w:val="18"/>
        </w:rPr>
        <w:t xml:space="preserve"> – Issued Feb 2026</w:t>
      </w:r>
    </w:p>
    <w:p w14:paraId="3530985C" w14:textId="101557D4" w:rsidR="00195E6A" w:rsidRPr="00F40165" w:rsidRDefault="00000000">
      <w:pPr>
        <w:spacing w:before="20" w:after="20"/>
        <w:rPr>
          <w:sz w:val="22"/>
          <w:szCs w:val="22"/>
        </w:rPr>
      </w:pPr>
      <w:r w:rsidRPr="00F40165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Program Manager Professional Certificate, </w:t>
      </w:r>
      <w:r w:rsidR="00E87402" w:rsidRPr="00F40165">
        <w:rPr>
          <w:rFonts w:ascii="Calibri" w:eastAsia="Calibri" w:hAnsi="Calibri" w:cs="Calibri"/>
          <w:b/>
          <w:bCs/>
          <w:color w:val="000000"/>
          <w:sz w:val="18"/>
          <w:szCs w:val="18"/>
        </w:rPr>
        <w:t>IBM</w:t>
      </w:r>
      <w:r w:rsidR="00E87402" w:rsidRPr="00F40165">
        <w:rPr>
          <w:rFonts w:ascii="Calibri" w:eastAsia="Calibri" w:hAnsi="Calibri" w:cs="Calibri"/>
          <w:color w:val="333333"/>
          <w:sz w:val="18"/>
          <w:szCs w:val="18"/>
        </w:rPr>
        <w:t xml:space="preserve"> | Coursera</w:t>
      </w:r>
      <w:r w:rsidRPr="00F40165">
        <w:rPr>
          <w:rFonts w:ascii="Calibri" w:eastAsia="Calibri" w:hAnsi="Calibri" w:cs="Calibri"/>
          <w:color w:val="333333"/>
          <w:sz w:val="18"/>
          <w:szCs w:val="18"/>
        </w:rPr>
        <w:t xml:space="preserve"> – In Progress</w:t>
      </w:r>
    </w:p>
    <w:sectPr w:rsidR="00195E6A" w:rsidRPr="00F40165"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6F66"/>
    <w:multiLevelType w:val="hybridMultilevel"/>
    <w:tmpl w:val="DD2C8804"/>
    <w:lvl w:ilvl="0" w:tplc="68564180">
      <w:start w:val="1"/>
      <w:numFmt w:val="bullet"/>
      <w:lvlText w:val="•"/>
      <w:lvlJc w:val="left"/>
      <w:pPr>
        <w:ind w:left="360" w:hanging="180"/>
      </w:pPr>
    </w:lvl>
    <w:lvl w:ilvl="1" w:tplc="41A83966">
      <w:numFmt w:val="decimal"/>
      <w:lvlText w:val=""/>
      <w:lvlJc w:val="left"/>
    </w:lvl>
    <w:lvl w:ilvl="2" w:tplc="8B88616E">
      <w:numFmt w:val="decimal"/>
      <w:lvlText w:val=""/>
      <w:lvlJc w:val="left"/>
    </w:lvl>
    <w:lvl w:ilvl="3" w:tplc="0D6E7EFA">
      <w:numFmt w:val="decimal"/>
      <w:lvlText w:val=""/>
      <w:lvlJc w:val="left"/>
    </w:lvl>
    <w:lvl w:ilvl="4" w:tplc="BD6AFB24">
      <w:numFmt w:val="decimal"/>
      <w:lvlText w:val=""/>
      <w:lvlJc w:val="left"/>
    </w:lvl>
    <w:lvl w:ilvl="5" w:tplc="39AAB19A">
      <w:numFmt w:val="decimal"/>
      <w:lvlText w:val=""/>
      <w:lvlJc w:val="left"/>
    </w:lvl>
    <w:lvl w:ilvl="6" w:tplc="F1D6642E">
      <w:numFmt w:val="decimal"/>
      <w:lvlText w:val=""/>
      <w:lvlJc w:val="left"/>
    </w:lvl>
    <w:lvl w:ilvl="7" w:tplc="B95CAF44">
      <w:numFmt w:val="decimal"/>
      <w:lvlText w:val=""/>
      <w:lvlJc w:val="left"/>
    </w:lvl>
    <w:lvl w:ilvl="8" w:tplc="658ACB12">
      <w:numFmt w:val="decimal"/>
      <w:lvlText w:val=""/>
      <w:lvlJc w:val="left"/>
    </w:lvl>
  </w:abstractNum>
  <w:abstractNum w:abstractNumId="1" w15:restartNumberingAfterBreak="0">
    <w:nsid w:val="2EA775A8"/>
    <w:multiLevelType w:val="hybridMultilevel"/>
    <w:tmpl w:val="B5D2C896"/>
    <w:lvl w:ilvl="0" w:tplc="A4C6AC8A">
      <w:start w:val="1"/>
      <w:numFmt w:val="bullet"/>
      <w:lvlText w:val="●"/>
      <w:lvlJc w:val="left"/>
      <w:pPr>
        <w:ind w:left="720" w:hanging="360"/>
      </w:pPr>
    </w:lvl>
    <w:lvl w:ilvl="1" w:tplc="C65C50F4">
      <w:start w:val="1"/>
      <w:numFmt w:val="bullet"/>
      <w:lvlText w:val="○"/>
      <w:lvlJc w:val="left"/>
      <w:pPr>
        <w:ind w:left="1440" w:hanging="360"/>
      </w:pPr>
    </w:lvl>
    <w:lvl w:ilvl="2" w:tplc="268C5172">
      <w:start w:val="1"/>
      <w:numFmt w:val="bullet"/>
      <w:lvlText w:val="■"/>
      <w:lvlJc w:val="left"/>
      <w:pPr>
        <w:ind w:left="2160" w:hanging="360"/>
      </w:pPr>
    </w:lvl>
    <w:lvl w:ilvl="3" w:tplc="D29A17CC">
      <w:start w:val="1"/>
      <w:numFmt w:val="bullet"/>
      <w:lvlText w:val="●"/>
      <w:lvlJc w:val="left"/>
      <w:pPr>
        <w:ind w:left="2880" w:hanging="360"/>
      </w:pPr>
    </w:lvl>
    <w:lvl w:ilvl="4" w:tplc="6A388282">
      <w:start w:val="1"/>
      <w:numFmt w:val="bullet"/>
      <w:lvlText w:val="○"/>
      <w:lvlJc w:val="left"/>
      <w:pPr>
        <w:ind w:left="3600" w:hanging="360"/>
      </w:pPr>
    </w:lvl>
    <w:lvl w:ilvl="5" w:tplc="2E1A1B08">
      <w:start w:val="1"/>
      <w:numFmt w:val="bullet"/>
      <w:lvlText w:val="■"/>
      <w:lvlJc w:val="left"/>
      <w:pPr>
        <w:ind w:left="4320" w:hanging="360"/>
      </w:pPr>
    </w:lvl>
    <w:lvl w:ilvl="6" w:tplc="71C283BE">
      <w:start w:val="1"/>
      <w:numFmt w:val="bullet"/>
      <w:lvlText w:val="●"/>
      <w:lvlJc w:val="left"/>
      <w:pPr>
        <w:ind w:left="5040" w:hanging="360"/>
      </w:pPr>
    </w:lvl>
    <w:lvl w:ilvl="7" w:tplc="775EEEB6">
      <w:start w:val="1"/>
      <w:numFmt w:val="bullet"/>
      <w:lvlText w:val="●"/>
      <w:lvlJc w:val="left"/>
      <w:pPr>
        <w:ind w:left="5760" w:hanging="360"/>
      </w:pPr>
    </w:lvl>
    <w:lvl w:ilvl="8" w:tplc="758CEF8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0526FA9"/>
    <w:multiLevelType w:val="hybridMultilevel"/>
    <w:tmpl w:val="F56817E6"/>
    <w:lvl w:ilvl="0" w:tplc="582631D4">
      <w:start w:val="1"/>
      <w:numFmt w:val="bullet"/>
      <w:lvlText w:val="•"/>
      <w:lvlJc w:val="left"/>
      <w:pPr>
        <w:ind w:left="360" w:hanging="180"/>
      </w:pPr>
    </w:lvl>
    <w:lvl w:ilvl="1" w:tplc="EFD2E5B6">
      <w:numFmt w:val="decimal"/>
      <w:lvlText w:val=""/>
      <w:lvlJc w:val="left"/>
    </w:lvl>
    <w:lvl w:ilvl="2" w:tplc="149E6D0C">
      <w:numFmt w:val="decimal"/>
      <w:lvlText w:val=""/>
      <w:lvlJc w:val="left"/>
    </w:lvl>
    <w:lvl w:ilvl="3" w:tplc="C1DCB964">
      <w:numFmt w:val="decimal"/>
      <w:lvlText w:val=""/>
      <w:lvlJc w:val="left"/>
    </w:lvl>
    <w:lvl w:ilvl="4" w:tplc="B33A3C90">
      <w:numFmt w:val="decimal"/>
      <w:lvlText w:val=""/>
      <w:lvlJc w:val="left"/>
    </w:lvl>
    <w:lvl w:ilvl="5" w:tplc="EC2A8DAA">
      <w:numFmt w:val="decimal"/>
      <w:lvlText w:val=""/>
      <w:lvlJc w:val="left"/>
    </w:lvl>
    <w:lvl w:ilvl="6" w:tplc="2E6C31C4">
      <w:numFmt w:val="decimal"/>
      <w:lvlText w:val=""/>
      <w:lvlJc w:val="left"/>
    </w:lvl>
    <w:lvl w:ilvl="7" w:tplc="B66017F2">
      <w:numFmt w:val="decimal"/>
      <w:lvlText w:val=""/>
      <w:lvlJc w:val="left"/>
    </w:lvl>
    <w:lvl w:ilvl="8" w:tplc="216A394E">
      <w:numFmt w:val="decimal"/>
      <w:lvlText w:val=""/>
      <w:lvlJc w:val="left"/>
    </w:lvl>
  </w:abstractNum>
  <w:num w:numId="1" w16cid:durableId="1878469145">
    <w:abstractNumId w:val="1"/>
    <w:lvlOverride w:ilvl="0">
      <w:startOverride w:val="1"/>
    </w:lvlOverride>
  </w:num>
  <w:num w:numId="2" w16cid:durableId="2708535">
    <w:abstractNumId w:val="0"/>
    <w:lvlOverride w:ilvl="0">
      <w:startOverride w:val="1"/>
    </w:lvlOverride>
  </w:num>
  <w:num w:numId="3" w16cid:durableId="16995028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6A"/>
    <w:rsid w:val="00195E6A"/>
    <w:rsid w:val="001E44B1"/>
    <w:rsid w:val="0020328D"/>
    <w:rsid w:val="00262331"/>
    <w:rsid w:val="002B377E"/>
    <w:rsid w:val="003272B3"/>
    <w:rsid w:val="003F633D"/>
    <w:rsid w:val="00484234"/>
    <w:rsid w:val="006A56DB"/>
    <w:rsid w:val="00AA7155"/>
    <w:rsid w:val="00B67579"/>
    <w:rsid w:val="00CD4E25"/>
    <w:rsid w:val="00D840F5"/>
    <w:rsid w:val="00E10B91"/>
    <w:rsid w:val="00E87402"/>
    <w:rsid w:val="00F40165"/>
    <w:rsid w:val="00FA2AF3"/>
    <w:rsid w:val="00F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20CC"/>
  <w15:docId w15:val="{D625A386-8CA3-479F-8246-3404C8A5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Chinedu Ndukwe</cp:lastModifiedBy>
  <cp:revision>2</cp:revision>
  <dcterms:created xsi:type="dcterms:W3CDTF">2026-05-19T19:40:00Z</dcterms:created>
  <dcterms:modified xsi:type="dcterms:W3CDTF">2026-05-19T19:40:00Z</dcterms:modified>
</cp:coreProperties>
</file>